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Ambivalence and exclusion in anti-prostitution law: Understanding the malleable legal status of sex workers in Sweden</w:t>
      </w:r>
    </w:p>
    <w:p w:rsidR="00000000" w:rsidDel="00000000" w:rsidP="00000000" w:rsidRDefault="00000000" w:rsidRPr="00000000" w14:paraId="00000002">
      <w:pPr>
        <w:rPr/>
      </w:pPr>
      <w:r w:rsidDel="00000000" w:rsidR="00000000" w:rsidRPr="00000000">
        <w:rPr>
          <w:rtl w:val="0"/>
        </w:rPr>
        <w:t xml:space="preserve"> </w:t>
      </w:r>
    </w:p>
    <w:p w:rsidR="00000000" w:rsidDel="00000000" w:rsidP="00000000" w:rsidRDefault="00000000" w:rsidRPr="00000000" w14:paraId="00000003">
      <w:pPr>
        <w:rPr/>
      </w:pPr>
      <w:r w:rsidDel="00000000" w:rsidR="00000000" w:rsidRPr="00000000">
        <w:rPr>
          <w:rtl w:val="0"/>
        </w:rPr>
        <w:t xml:space="preserve">Petra Östergren</w:t>
      </w:r>
    </w:p>
    <w:p w:rsidR="00000000" w:rsidDel="00000000" w:rsidP="00000000" w:rsidRDefault="00000000" w:rsidRPr="00000000" w14:paraId="00000004">
      <w:pPr>
        <w:rPr/>
      </w:pPr>
      <w:r w:rsidDel="00000000" w:rsidR="00000000" w:rsidRPr="00000000">
        <w:rPr>
          <w:rtl w:val="0"/>
        </w:rPr>
        <w:t xml:space="preserve"> </w:t>
      </w:r>
    </w:p>
    <w:p w:rsidR="00000000" w:rsidDel="00000000" w:rsidP="00000000" w:rsidRDefault="00000000" w:rsidRPr="00000000" w14:paraId="00000005">
      <w:pPr>
        <w:rPr/>
      </w:pPr>
      <w:r w:rsidDel="00000000" w:rsidR="00000000" w:rsidRPr="00000000">
        <w:rPr>
          <w:rtl w:val="0"/>
        </w:rPr>
        <w:t xml:space="preserve">While sex workers are seen as victims of male violence in Swedish political discourse, according to established law they are consenting individuals. For instance, the ban on sex purchase is predicated on mutual consent and designed to protect public order. Moreover, as in other countries with a repressive policy, the various anti-prostitution laws and regulations cast sex workers in a tenuous legal and civic position. This gives rise to the question: If a person selling sex in Sweden is not a </w:t>
      </w:r>
      <w:sdt>
        <w:sdtPr>
          <w:tag w:val="goog_rdk_0"/>
        </w:sdtPr>
        <w:sdtContent>
          <w:commentRangeStart w:id="0"/>
        </w:sdtContent>
      </w:sdt>
      <w:r w:rsidDel="00000000" w:rsidR="00000000" w:rsidRPr="00000000">
        <w:rPr>
          <w:rtl w:val="0"/>
        </w:rPr>
        <w:t xml:space="preserve">victim of crime,</w:t>
      </w:r>
      <w:commentRangeEnd w:id="0"/>
      <w:r w:rsidDel="00000000" w:rsidR="00000000" w:rsidRPr="00000000">
        <w:commentReference w:id="0"/>
      </w:r>
      <w:r w:rsidDel="00000000" w:rsidR="00000000" w:rsidRPr="00000000">
        <w:rPr>
          <w:rtl w:val="0"/>
        </w:rPr>
        <w:t xml:space="preserve"> then what are they as a legal subject?</w:t>
      </w:r>
    </w:p>
    <w:p w:rsidR="00000000" w:rsidDel="00000000" w:rsidP="00000000" w:rsidRDefault="00000000" w:rsidRPr="00000000" w14:paraId="00000006">
      <w:pPr>
        <w:rPr/>
      </w:pPr>
      <w:r w:rsidDel="00000000" w:rsidR="00000000" w:rsidRPr="00000000">
        <w:rPr>
          <w:rtl w:val="0"/>
        </w:rPr>
        <w:t xml:space="preserve"> </w:t>
      </w:r>
    </w:p>
    <w:p w:rsidR="00000000" w:rsidDel="00000000" w:rsidP="00000000" w:rsidRDefault="00000000" w:rsidRPr="00000000" w14:paraId="00000007">
      <w:pPr>
        <w:rPr/>
      </w:pPr>
      <w:r w:rsidDel="00000000" w:rsidR="00000000" w:rsidRPr="00000000">
        <w:rPr>
          <w:rtl w:val="0"/>
        </w:rPr>
        <w:t xml:space="preserve">Since the sex-purchase offense hinges on consent, the legal system has needed to clarify how the ban relates to the general legal principles that apply to the penal code and defines the legal statuses of individuals selling sex. T</w:t>
      </w:r>
      <w:sdt>
        <w:sdtPr>
          <w:tag w:val="goog_rdk_1"/>
        </w:sdtPr>
        <w:sdtContent>
          <w:commentRangeStart w:id="1"/>
        </w:sdtContent>
      </w:sdt>
      <w:r w:rsidDel="00000000" w:rsidR="00000000" w:rsidRPr="00000000">
        <w:rPr>
          <w:rtl w:val="0"/>
        </w:rPr>
        <w:t xml:space="preserve">his paper scrutinizes three legal norms: the rules concerning exemption from liability; the rule on complicity in crime; and the role of the sex worker in trial</w:t>
      </w:r>
      <w:commentRangeEnd w:id="1"/>
      <w:r w:rsidDel="00000000" w:rsidR="00000000" w:rsidRPr="00000000">
        <w:commentReference w:id="1"/>
      </w:r>
      <w:r w:rsidDel="00000000" w:rsidR="00000000" w:rsidRPr="00000000">
        <w:rPr>
          <w:rtl w:val="0"/>
        </w:rPr>
        <w:t xml:space="preserve">. After that, it considers how sex workers are cast in tax and contract regulations and discourse, as well as health and social service measures. Finally, it turns to the reasoning of Swedish authorities when challenging their legal status. </w:t>
      </w:r>
    </w:p>
    <w:p w:rsidR="00000000" w:rsidDel="00000000" w:rsidP="00000000" w:rsidRDefault="00000000" w:rsidRPr="00000000" w14:paraId="00000008">
      <w:pPr>
        <w:rPr/>
      </w:pPr>
      <w:r w:rsidDel="00000000" w:rsidR="00000000" w:rsidRPr="00000000">
        <w:rPr>
          <w:rtl w:val="0"/>
        </w:rPr>
        <w:t xml:space="preserve"> </w:t>
      </w:r>
    </w:p>
    <w:p w:rsidR="00000000" w:rsidDel="00000000" w:rsidP="00000000" w:rsidRDefault="00000000" w:rsidRPr="00000000" w14:paraId="00000009">
      <w:pPr>
        <w:rPr/>
      </w:pPr>
      <w:r w:rsidDel="00000000" w:rsidR="00000000" w:rsidRPr="00000000">
        <w:rPr>
          <w:rtl w:val="0"/>
        </w:rPr>
        <w:t xml:space="preserve">By subjecting established law and statements by legal and social authorities to closer examination, we find that sex workers are cast in multiple roles, oscillating between victim, consenting individual, witness, self-employed entrepreneur, and criminal – and sometimes as nothing at all. While this ambivalence expresses social ambiguity and an exclusionary logic intrinsic to all anti-prostitution policies, I suggest the malleable legal status of sex workers also helps to perpetuate these stigma-based discriminatory practices, providing authorities with an </w:t>
      </w:r>
      <w:sdt>
        <w:sdtPr>
          <w:tag w:val="goog_rdk_2"/>
        </w:sdtPr>
        <w:sdtContent>
          <w:commentRangeStart w:id="2"/>
        </w:sdtContent>
      </w:sdt>
      <w:r w:rsidDel="00000000" w:rsidR="00000000" w:rsidRPr="00000000">
        <w:rPr>
          <w:rtl w:val="0"/>
        </w:rPr>
        <w:t xml:space="preserve">“strategy of ambivalence”. I</w:t>
      </w:r>
      <w:commentRangeEnd w:id="2"/>
      <w:r w:rsidDel="00000000" w:rsidR="00000000" w:rsidRPr="00000000">
        <w:commentReference w:id="2"/>
      </w:r>
      <w:r w:rsidDel="00000000" w:rsidR="00000000" w:rsidRPr="00000000">
        <w:rPr>
          <w:rtl w:val="0"/>
        </w:rPr>
        <w:t xml:space="preserve"> also argue that discussions on the governance of prostitution can benefit from focusing on legal principles, while recognising the historic parallels to the regulation of female labour and repression of deviancy.</w:t>
      </w:r>
    </w:p>
    <w:p w:rsidR="00000000" w:rsidDel="00000000" w:rsidP="00000000" w:rsidRDefault="00000000" w:rsidRPr="00000000" w14:paraId="0000000A">
      <w:pPr>
        <w:rPr/>
      </w:pPr>
      <w:r w:rsidDel="00000000" w:rsidR="00000000" w:rsidRPr="00000000">
        <w:rPr>
          <w:rtl w:val="0"/>
        </w:rPr>
        <w:t xml:space="preserve"> </w:t>
      </w:r>
    </w:p>
    <w:p w:rsidR="00000000" w:rsidDel="00000000" w:rsidP="00000000" w:rsidRDefault="00000000" w:rsidRPr="00000000" w14:paraId="0000000B">
      <w:pPr>
        <w:rPr/>
      </w:pPr>
      <w:r w:rsidDel="00000000" w:rsidR="00000000" w:rsidRPr="00000000">
        <w:rPr>
          <w:rtl w:val="0"/>
        </w:rPr>
        <w:t xml:space="preserve">Key words</w:t>
      </w:r>
    </w:p>
    <w:p w:rsidR="00000000" w:rsidDel="00000000" w:rsidP="00000000" w:rsidRDefault="00000000" w:rsidRPr="00000000" w14:paraId="0000000C">
      <w:pPr>
        <w:rPr/>
      </w:pPr>
      <w:r w:rsidDel="00000000" w:rsidR="00000000" w:rsidRPr="00000000">
        <w:rPr>
          <w:rtl w:val="0"/>
        </w:rPr>
        <w:t xml:space="preserve">Anti-prostitution law, legal status, prostitution policy, sex workers, strategic ambivalence, sex-purchase ban, Sweden </w:t>
      </w:r>
    </w:p>
    <w:p w:rsidR="00000000" w:rsidDel="00000000" w:rsidP="00000000" w:rsidRDefault="00000000" w:rsidRPr="00000000" w14:paraId="0000000D">
      <w:pPr>
        <w:rPr/>
      </w:pPr>
      <w:r w:rsidDel="00000000" w:rsidR="00000000" w:rsidRPr="00000000">
        <w:rPr>
          <w:rtl w:val="0"/>
        </w:rPr>
      </w:r>
    </w:p>
    <w:sectPr>
      <w:pgSz w:h="16838" w:w="11906" w:orient="portrait"/>
      <w:pgMar w:bottom="1417" w:top="1417" w:left="1417" w:right="1417"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I" w:id="1" w:date="2025-01-30T18:45:41Z">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Concise and direct, I like it.</w:t>
      </w:r>
    </w:p>
  </w:comment>
  <w:comment w:author="I" w:id="0" w:date="2025-01-30T18:41:16Z">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Spontaneous thoughts: brottsplats or crime scene (at least one dimension). Victimhood can be dimensionality for those who regret their action/want to stop selling sex. If not, a conductor of crime where legal consequences will be on those actors (partners, landlords)  whose punishment affects the sex worker herself. It makes it even more complicated, who is the conductor then? There is also this discussion about sex workers being "witnesses" in crime. It is important to reflect on the general legal responsibilities of the witnesses (what are musts and what are not) and the future implications of someone who is a witness.</w:t>
      </w:r>
    </w:p>
  </w:comment>
  <w:comment w:author="I" w:id="2" w:date="2025-01-30T18:44:12Z">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Also, if we theoretically approach ambivalence as a "gray area", we can analyze how this ambivalence can be used by sex workers to get the legal outcomes/courts' conclusions in our favor ("queering ambivalence").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0E" w15:done="0"/>
  <w15:commentEx w15:paraId="0000000F" w15:done="0"/>
  <w15:commentEx w15:paraId="00000010"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Pr>
      <w:lang w:val="en-US"/>
    </w:rPr>
  </w:style>
  <w:style w:type="paragraph" w:styleId="Rubrik1">
    <w:name w:val="heading 1"/>
    <w:basedOn w:val="Normal"/>
    <w:next w:val="Normal"/>
    <w:link w:val="Rubrik1Char"/>
    <w:uiPriority w:val="9"/>
    <w:qFormat w:val="1"/>
    <w:rsid w:val="00452A2C"/>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Rubrik2">
    <w:name w:val="heading 2"/>
    <w:basedOn w:val="Normal"/>
    <w:next w:val="Normal"/>
    <w:link w:val="Rubrik2Char"/>
    <w:uiPriority w:val="9"/>
    <w:semiHidden w:val="1"/>
    <w:unhideWhenUsed w:val="1"/>
    <w:qFormat w:val="1"/>
    <w:rsid w:val="00452A2C"/>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Rubrik3">
    <w:name w:val="heading 3"/>
    <w:basedOn w:val="Normal"/>
    <w:next w:val="Normal"/>
    <w:link w:val="Rubrik3Char"/>
    <w:uiPriority w:val="9"/>
    <w:semiHidden w:val="1"/>
    <w:unhideWhenUsed w:val="1"/>
    <w:qFormat w:val="1"/>
    <w:rsid w:val="00452A2C"/>
    <w:pPr>
      <w:keepNext w:val="1"/>
      <w:keepLines w:val="1"/>
      <w:spacing w:after="80" w:before="160"/>
      <w:outlineLvl w:val="2"/>
    </w:pPr>
    <w:rPr>
      <w:rFonts w:cstheme="majorBidi" w:eastAsiaTheme="majorEastAsia"/>
      <w:color w:val="0f4761" w:themeColor="accent1" w:themeShade="0000BF"/>
      <w:sz w:val="28"/>
      <w:szCs w:val="28"/>
    </w:rPr>
  </w:style>
  <w:style w:type="paragraph" w:styleId="Rubrik4">
    <w:name w:val="heading 4"/>
    <w:basedOn w:val="Normal"/>
    <w:next w:val="Normal"/>
    <w:link w:val="Rubrik4Char"/>
    <w:uiPriority w:val="9"/>
    <w:semiHidden w:val="1"/>
    <w:unhideWhenUsed w:val="1"/>
    <w:qFormat w:val="1"/>
    <w:rsid w:val="00452A2C"/>
    <w:pPr>
      <w:keepNext w:val="1"/>
      <w:keepLines w:val="1"/>
      <w:spacing w:after="40" w:before="80"/>
      <w:outlineLvl w:val="3"/>
    </w:pPr>
    <w:rPr>
      <w:rFonts w:cstheme="majorBidi" w:eastAsiaTheme="majorEastAsia"/>
      <w:i w:val="1"/>
      <w:iCs w:val="1"/>
      <w:color w:val="0f4761" w:themeColor="accent1" w:themeShade="0000BF"/>
    </w:rPr>
  </w:style>
  <w:style w:type="paragraph" w:styleId="Rubrik5">
    <w:name w:val="heading 5"/>
    <w:basedOn w:val="Normal"/>
    <w:next w:val="Normal"/>
    <w:link w:val="Rubrik5Char"/>
    <w:uiPriority w:val="9"/>
    <w:semiHidden w:val="1"/>
    <w:unhideWhenUsed w:val="1"/>
    <w:qFormat w:val="1"/>
    <w:rsid w:val="00452A2C"/>
    <w:pPr>
      <w:keepNext w:val="1"/>
      <w:keepLines w:val="1"/>
      <w:spacing w:after="40" w:before="80"/>
      <w:outlineLvl w:val="4"/>
    </w:pPr>
    <w:rPr>
      <w:rFonts w:cstheme="majorBidi" w:eastAsiaTheme="majorEastAsia"/>
      <w:color w:val="0f4761" w:themeColor="accent1" w:themeShade="0000BF"/>
    </w:rPr>
  </w:style>
  <w:style w:type="paragraph" w:styleId="Rubrik6">
    <w:name w:val="heading 6"/>
    <w:basedOn w:val="Normal"/>
    <w:next w:val="Normal"/>
    <w:link w:val="Rubrik6Char"/>
    <w:uiPriority w:val="9"/>
    <w:semiHidden w:val="1"/>
    <w:unhideWhenUsed w:val="1"/>
    <w:qFormat w:val="1"/>
    <w:rsid w:val="00452A2C"/>
    <w:pPr>
      <w:keepNext w:val="1"/>
      <w:keepLines w:val="1"/>
      <w:spacing w:before="40"/>
      <w:outlineLvl w:val="5"/>
    </w:pPr>
    <w:rPr>
      <w:rFonts w:cstheme="majorBidi" w:eastAsiaTheme="majorEastAsia"/>
      <w:i w:val="1"/>
      <w:iCs w:val="1"/>
      <w:color w:val="595959" w:themeColor="text1" w:themeTint="0000A6"/>
    </w:rPr>
  </w:style>
  <w:style w:type="paragraph" w:styleId="Rubrik7">
    <w:name w:val="heading 7"/>
    <w:basedOn w:val="Normal"/>
    <w:next w:val="Normal"/>
    <w:link w:val="Rubrik7Char"/>
    <w:uiPriority w:val="9"/>
    <w:semiHidden w:val="1"/>
    <w:unhideWhenUsed w:val="1"/>
    <w:qFormat w:val="1"/>
    <w:rsid w:val="00452A2C"/>
    <w:pPr>
      <w:keepNext w:val="1"/>
      <w:keepLines w:val="1"/>
      <w:spacing w:before="40"/>
      <w:outlineLvl w:val="6"/>
    </w:pPr>
    <w:rPr>
      <w:rFonts w:cstheme="majorBidi" w:eastAsiaTheme="majorEastAsia"/>
      <w:color w:val="595959" w:themeColor="text1" w:themeTint="0000A6"/>
    </w:rPr>
  </w:style>
  <w:style w:type="paragraph" w:styleId="Rubrik8">
    <w:name w:val="heading 8"/>
    <w:basedOn w:val="Normal"/>
    <w:next w:val="Normal"/>
    <w:link w:val="Rubrik8Char"/>
    <w:uiPriority w:val="9"/>
    <w:semiHidden w:val="1"/>
    <w:unhideWhenUsed w:val="1"/>
    <w:qFormat w:val="1"/>
    <w:rsid w:val="00452A2C"/>
    <w:pPr>
      <w:keepNext w:val="1"/>
      <w:keepLines w:val="1"/>
      <w:outlineLvl w:val="7"/>
    </w:pPr>
    <w:rPr>
      <w:rFonts w:cstheme="majorBidi" w:eastAsiaTheme="majorEastAsia"/>
      <w:i w:val="1"/>
      <w:iCs w:val="1"/>
      <w:color w:val="272727" w:themeColor="text1" w:themeTint="0000D8"/>
    </w:rPr>
  </w:style>
  <w:style w:type="paragraph" w:styleId="Rubrik9">
    <w:name w:val="heading 9"/>
    <w:basedOn w:val="Normal"/>
    <w:next w:val="Normal"/>
    <w:link w:val="Rubrik9Char"/>
    <w:uiPriority w:val="9"/>
    <w:semiHidden w:val="1"/>
    <w:unhideWhenUsed w:val="1"/>
    <w:qFormat w:val="1"/>
    <w:rsid w:val="00452A2C"/>
    <w:pPr>
      <w:keepNext w:val="1"/>
      <w:keepLines w:val="1"/>
      <w:outlineLvl w:val="8"/>
    </w:pPr>
    <w:rPr>
      <w:rFonts w:cstheme="majorBidi" w:eastAsiaTheme="majorEastAsia"/>
      <w:color w:val="272727" w:themeColor="text1" w:themeTint="0000D8"/>
    </w:rPr>
  </w:style>
  <w:style w:type="character" w:styleId="Standardstycketeckensnitt" w:default="1">
    <w:name w:val="Default Paragraph Font"/>
    <w:uiPriority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character" w:styleId="Rubrik1Char" w:customStyle="1">
    <w:name w:val="Rubrik 1 Char"/>
    <w:basedOn w:val="Standardstycketeckensnitt"/>
    <w:link w:val="Rubrik1"/>
    <w:uiPriority w:val="9"/>
    <w:rsid w:val="00452A2C"/>
    <w:rPr>
      <w:rFonts w:asciiTheme="majorHAnsi" w:cstheme="majorBidi" w:eastAsiaTheme="majorEastAsia" w:hAnsiTheme="majorHAnsi"/>
      <w:color w:val="0f4761" w:themeColor="accent1" w:themeShade="0000BF"/>
      <w:sz w:val="40"/>
      <w:szCs w:val="40"/>
      <w:lang w:val="en-US"/>
    </w:rPr>
  </w:style>
  <w:style w:type="character" w:styleId="Rubrik2Char" w:customStyle="1">
    <w:name w:val="Rubrik 2 Char"/>
    <w:basedOn w:val="Standardstycketeckensnitt"/>
    <w:link w:val="Rubrik2"/>
    <w:uiPriority w:val="9"/>
    <w:semiHidden w:val="1"/>
    <w:rsid w:val="00452A2C"/>
    <w:rPr>
      <w:rFonts w:asciiTheme="majorHAnsi" w:cstheme="majorBidi" w:eastAsiaTheme="majorEastAsia" w:hAnsiTheme="majorHAnsi"/>
      <w:color w:val="0f4761" w:themeColor="accent1" w:themeShade="0000BF"/>
      <w:sz w:val="32"/>
      <w:szCs w:val="32"/>
      <w:lang w:val="en-US"/>
    </w:rPr>
  </w:style>
  <w:style w:type="character" w:styleId="Rubrik3Char" w:customStyle="1">
    <w:name w:val="Rubrik 3 Char"/>
    <w:basedOn w:val="Standardstycketeckensnitt"/>
    <w:link w:val="Rubrik3"/>
    <w:uiPriority w:val="9"/>
    <w:semiHidden w:val="1"/>
    <w:rsid w:val="00452A2C"/>
    <w:rPr>
      <w:rFonts w:cstheme="majorBidi" w:eastAsiaTheme="majorEastAsia"/>
      <w:color w:val="0f4761" w:themeColor="accent1" w:themeShade="0000BF"/>
      <w:sz w:val="28"/>
      <w:szCs w:val="28"/>
      <w:lang w:val="en-US"/>
    </w:rPr>
  </w:style>
  <w:style w:type="character" w:styleId="Rubrik4Char" w:customStyle="1">
    <w:name w:val="Rubrik 4 Char"/>
    <w:basedOn w:val="Standardstycketeckensnitt"/>
    <w:link w:val="Rubrik4"/>
    <w:uiPriority w:val="9"/>
    <w:semiHidden w:val="1"/>
    <w:rsid w:val="00452A2C"/>
    <w:rPr>
      <w:rFonts w:cstheme="majorBidi" w:eastAsiaTheme="majorEastAsia"/>
      <w:i w:val="1"/>
      <w:iCs w:val="1"/>
      <w:color w:val="0f4761" w:themeColor="accent1" w:themeShade="0000BF"/>
      <w:lang w:val="en-US"/>
    </w:rPr>
  </w:style>
  <w:style w:type="character" w:styleId="Rubrik5Char" w:customStyle="1">
    <w:name w:val="Rubrik 5 Char"/>
    <w:basedOn w:val="Standardstycketeckensnitt"/>
    <w:link w:val="Rubrik5"/>
    <w:uiPriority w:val="9"/>
    <w:semiHidden w:val="1"/>
    <w:rsid w:val="00452A2C"/>
    <w:rPr>
      <w:rFonts w:cstheme="majorBidi" w:eastAsiaTheme="majorEastAsia"/>
      <w:color w:val="0f4761" w:themeColor="accent1" w:themeShade="0000BF"/>
      <w:lang w:val="en-US"/>
    </w:rPr>
  </w:style>
  <w:style w:type="character" w:styleId="Rubrik6Char" w:customStyle="1">
    <w:name w:val="Rubrik 6 Char"/>
    <w:basedOn w:val="Standardstycketeckensnitt"/>
    <w:link w:val="Rubrik6"/>
    <w:uiPriority w:val="9"/>
    <w:semiHidden w:val="1"/>
    <w:rsid w:val="00452A2C"/>
    <w:rPr>
      <w:rFonts w:cstheme="majorBidi" w:eastAsiaTheme="majorEastAsia"/>
      <w:i w:val="1"/>
      <w:iCs w:val="1"/>
      <w:color w:val="595959" w:themeColor="text1" w:themeTint="0000A6"/>
      <w:lang w:val="en-US"/>
    </w:rPr>
  </w:style>
  <w:style w:type="character" w:styleId="Rubrik7Char" w:customStyle="1">
    <w:name w:val="Rubrik 7 Char"/>
    <w:basedOn w:val="Standardstycketeckensnitt"/>
    <w:link w:val="Rubrik7"/>
    <w:uiPriority w:val="9"/>
    <w:semiHidden w:val="1"/>
    <w:rsid w:val="00452A2C"/>
    <w:rPr>
      <w:rFonts w:cstheme="majorBidi" w:eastAsiaTheme="majorEastAsia"/>
      <w:color w:val="595959" w:themeColor="text1" w:themeTint="0000A6"/>
      <w:lang w:val="en-US"/>
    </w:rPr>
  </w:style>
  <w:style w:type="character" w:styleId="Rubrik8Char" w:customStyle="1">
    <w:name w:val="Rubrik 8 Char"/>
    <w:basedOn w:val="Standardstycketeckensnitt"/>
    <w:link w:val="Rubrik8"/>
    <w:uiPriority w:val="9"/>
    <w:semiHidden w:val="1"/>
    <w:rsid w:val="00452A2C"/>
    <w:rPr>
      <w:rFonts w:cstheme="majorBidi" w:eastAsiaTheme="majorEastAsia"/>
      <w:i w:val="1"/>
      <w:iCs w:val="1"/>
      <w:color w:val="272727" w:themeColor="text1" w:themeTint="0000D8"/>
      <w:lang w:val="en-US"/>
    </w:rPr>
  </w:style>
  <w:style w:type="character" w:styleId="Rubrik9Char" w:customStyle="1">
    <w:name w:val="Rubrik 9 Char"/>
    <w:basedOn w:val="Standardstycketeckensnitt"/>
    <w:link w:val="Rubrik9"/>
    <w:uiPriority w:val="9"/>
    <w:semiHidden w:val="1"/>
    <w:rsid w:val="00452A2C"/>
    <w:rPr>
      <w:rFonts w:cstheme="majorBidi" w:eastAsiaTheme="majorEastAsia"/>
      <w:color w:val="272727" w:themeColor="text1" w:themeTint="0000D8"/>
      <w:lang w:val="en-US"/>
    </w:rPr>
  </w:style>
  <w:style w:type="paragraph" w:styleId="Rubrik">
    <w:name w:val="Title"/>
    <w:basedOn w:val="Normal"/>
    <w:next w:val="Normal"/>
    <w:link w:val="RubrikChar"/>
    <w:uiPriority w:val="10"/>
    <w:qFormat w:val="1"/>
    <w:rsid w:val="00452A2C"/>
    <w:pPr>
      <w:spacing w:after="80"/>
      <w:contextualSpacing w:val="1"/>
    </w:pPr>
    <w:rPr>
      <w:rFonts w:asciiTheme="majorHAnsi" w:cstheme="majorBidi" w:eastAsiaTheme="majorEastAsia" w:hAnsiTheme="majorHAnsi"/>
      <w:spacing w:val="-10"/>
      <w:kern w:val="28"/>
      <w:sz w:val="56"/>
      <w:szCs w:val="56"/>
    </w:rPr>
  </w:style>
  <w:style w:type="character" w:styleId="RubrikChar" w:customStyle="1">
    <w:name w:val="Rubrik Char"/>
    <w:basedOn w:val="Standardstycketeckensnitt"/>
    <w:link w:val="Rubrik"/>
    <w:uiPriority w:val="10"/>
    <w:rsid w:val="00452A2C"/>
    <w:rPr>
      <w:rFonts w:asciiTheme="majorHAnsi" w:cstheme="majorBidi" w:eastAsiaTheme="majorEastAsia" w:hAnsiTheme="majorHAnsi"/>
      <w:spacing w:val="-10"/>
      <w:kern w:val="28"/>
      <w:sz w:val="56"/>
      <w:szCs w:val="56"/>
      <w:lang w:val="en-US"/>
    </w:rPr>
  </w:style>
  <w:style w:type="paragraph" w:styleId="Underrubrik">
    <w:name w:val="Subtitle"/>
    <w:basedOn w:val="Normal"/>
    <w:next w:val="Normal"/>
    <w:link w:val="UnderrubrikChar"/>
    <w:uiPriority w:val="11"/>
    <w:qFormat w:val="1"/>
    <w:rsid w:val="00452A2C"/>
    <w:pPr>
      <w:numPr>
        <w:ilvl w:val="1"/>
      </w:numPr>
      <w:spacing w:after="160"/>
    </w:pPr>
    <w:rPr>
      <w:rFonts w:cstheme="majorBidi" w:eastAsiaTheme="majorEastAsia"/>
      <w:color w:val="595959" w:themeColor="text1" w:themeTint="0000A6"/>
      <w:spacing w:val="15"/>
      <w:sz w:val="28"/>
      <w:szCs w:val="28"/>
    </w:rPr>
  </w:style>
  <w:style w:type="character" w:styleId="UnderrubrikChar" w:customStyle="1">
    <w:name w:val="Underrubrik Char"/>
    <w:basedOn w:val="Standardstycketeckensnitt"/>
    <w:link w:val="Underrubrik"/>
    <w:uiPriority w:val="11"/>
    <w:rsid w:val="00452A2C"/>
    <w:rPr>
      <w:rFonts w:cstheme="majorBidi" w:eastAsiaTheme="majorEastAsia"/>
      <w:color w:val="595959" w:themeColor="text1" w:themeTint="0000A6"/>
      <w:spacing w:val="15"/>
      <w:sz w:val="28"/>
      <w:szCs w:val="28"/>
      <w:lang w:val="en-US"/>
    </w:rPr>
  </w:style>
  <w:style w:type="paragraph" w:styleId="Citat">
    <w:name w:val="Quote"/>
    <w:basedOn w:val="Normal"/>
    <w:next w:val="Normal"/>
    <w:link w:val="CitatChar"/>
    <w:uiPriority w:val="29"/>
    <w:qFormat w:val="1"/>
    <w:rsid w:val="00452A2C"/>
    <w:pPr>
      <w:spacing w:after="160" w:before="160"/>
      <w:jc w:val="center"/>
    </w:pPr>
    <w:rPr>
      <w:i w:val="1"/>
      <w:iCs w:val="1"/>
      <w:color w:val="404040" w:themeColor="text1" w:themeTint="0000BF"/>
    </w:rPr>
  </w:style>
  <w:style w:type="character" w:styleId="CitatChar" w:customStyle="1">
    <w:name w:val="Citat Char"/>
    <w:basedOn w:val="Standardstycketeckensnitt"/>
    <w:link w:val="Citat"/>
    <w:uiPriority w:val="29"/>
    <w:rsid w:val="00452A2C"/>
    <w:rPr>
      <w:i w:val="1"/>
      <w:iCs w:val="1"/>
      <w:color w:val="404040" w:themeColor="text1" w:themeTint="0000BF"/>
      <w:lang w:val="en-US"/>
    </w:rPr>
  </w:style>
  <w:style w:type="paragraph" w:styleId="Liststycke">
    <w:name w:val="List Paragraph"/>
    <w:basedOn w:val="Normal"/>
    <w:uiPriority w:val="34"/>
    <w:qFormat w:val="1"/>
    <w:rsid w:val="00452A2C"/>
    <w:pPr>
      <w:ind w:left="720"/>
      <w:contextualSpacing w:val="1"/>
    </w:pPr>
  </w:style>
  <w:style w:type="character" w:styleId="Starkbetoning">
    <w:name w:val="Intense Emphasis"/>
    <w:basedOn w:val="Standardstycketeckensnitt"/>
    <w:uiPriority w:val="21"/>
    <w:qFormat w:val="1"/>
    <w:rsid w:val="00452A2C"/>
    <w:rPr>
      <w:i w:val="1"/>
      <w:iCs w:val="1"/>
      <w:color w:val="0f4761" w:themeColor="accent1" w:themeShade="0000BF"/>
    </w:rPr>
  </w:style>
  <w:style w:type="paragraph" w:styleId="Starktcitat">
    <w:name w:val="Intense Quote"/>
    <w:basedOn w:val="Normal"/>
    <w:next w:val="Normal"/>
    <w:link w:val="StarktcitatChar"/>
    <w:uiPriority w:val="30"/>
    <w:qFormat w:val="1"/>
    <w:rsid w:val="00452A2C"/>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StarktcitatChar" w:customStyle="1">
    <w:name w:val="Starkt citat Char"/>
    <w:basedOn w:val="Standardstycketeckensnitt"/>
    <w:link w:val="Starktcitat"/>
    <w:uiPriority w:val="30"/>
    <w:rsid w:val="00452A2C"/>
    <w:rPr>
      <w:i w:val="1"/>
      <w:iCs w:val="1"/>
      <w:color w:val="0f4761" w:themeColor="accent1" w:themeShade="0000BF"/>
      <w:lang w:val="en-US"/>
    </w:rPr>
  </w:style>
  <w:style w:type="character" w:styleId="Starkreferens">
    <w:name w:val="Intense Reference"/>
    <w:basedOn w:val="Standardstycketeckensnitt"/>
    <w:uiPriority w:val="32"/>
    <w:qFormat w:val="1"/>
    <w:rsid w:val="00452A2C"/>
    <w:rPr>
      <w:b w:val="1"/>
      <w:bCs w:val="1"/>
      <w:smallCaps w:val="1"/>
      <w:color w:val="0f4761" w:themeColor="accent1" w:themeShade="0000BF"/>
      <w:spacing w:val="5"/>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2bEql66GDzWW233K/XaorEkuYQ==">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2025-01-20T07:43:00Z</dcterms:created>
  <dc:creator>Charlotta Holmström</dc:creator>
</cp:coreProperties>
</file>